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0F" w:rsidRPr="009C7307" w:rsidRDefault="009C7307">
      <w:pPr>
        <w:rPr>
          <w:rFonts w:ascii="Times New Roman" w:hAnsi="Times New Roman" w:cs="Times New Roman"/>
          <w:sz w:val="28"/>
          <w:szCs w:val="28"/>
        </w:rPr>
      </w:pPr>
      <w:bookmarkStart w:id="0" w:name="_GoBack"/>
      <w:bookmarkEnd w:id="0"/>
      <w:r w:rsidRPr="009C7307">
        <w:rPr>
          <w:rFonts w:ascii="Times New Roman" w:hAnsi="Times New Roman" w:cs="Times New Roman"/>
          <w:sz w:val="28"/>
          <w:szCs w:val="28"/>
        </w:rPr>
        <w:t>Lietotie termini</w:t>
      </w:r>
      <w:r>
        <w:rPr>
          <w:rFonts w:ascii="Times New Roman" w:hAnsi="Times New Roman" w:cs="Times New Roman"/>
          <w:sz w:val="28"/>
          <w:szCs w:val="28"/>
        </w:rPr>
        <w:t>:</w:t>
      </w:r>
    </w:p>
    <w:p w:rsidR="009C7307" w:rsidRPr="009C7307" w:rsidRDefault="009C7307" w:rsidP="009C7307">
      <w:pPr>
        <w:pStyle w:val="ListParagraph"/>
        <w:numPr>
          <w:ilvl w:val="0"/>
          <w:numId w:val="1"/>
        </w:numPr>
        <w:spacing w:after="0" w:line="240" w:lineRule="auto"/>
        <w:rPr>
          <w:rFonts w:ascii="Times New Roman" w:eastAsia="Times New Roman" w:hAnsi="Times New Roman" w:cs="Times New Roman"/>
          <w:color w:val="000000"/>
          <w:sz w:val="28"/>
          <w:szCs w:val="28"/>
          <w:lang w:eastAsia="lv-LV"/>
        </w:rPr>
      </w:pPr>
      <w:r w:rsidRPr="009C7307">
        <w:rPr>
          <w:rFonts w:ascii="Times New Roman" w:eastAsia="Times New Roman" w:hAnsi="Times New Roman" w:cs="Times New Roman"/>
          <w:color w:val="000000"/>
          <w:sz w:val="28"/>
          <w:szCs w:val="28"/>
          <w:lang w:eastAsia="lv-LV"/>
        </w:rPr>
        <w:t xml:space="preserve">kvalificēts noziedzīgs nodarījums pēc Krimināllikuma panta –Informācijas centra pārziņā esošajā valsts informācijas sistēmā „Kriminālprocesa informācijas sistēma” (turpmāk – Kriminālprocesa informācijas sistēma) un valsts informācijas sistēmas „Integrētās </w:t>
      </w:r>
      <w:proofErr w:type="spellStart"/>
      <w:r w:rsidRPr="009C7307">
        <w:rPr>
          <w:rFonts w:ascii="Times New Roman" w:eastAsia="Times New Roman" w:hAnsi="Times New Roman" w:cs="Times New Roman"/>
          <w:color w:val="000000"/>
          <w:sz w:val="28"/>
          <w:szCs w:val="28"/>
          <w:lang w:eastAsia="lv-LV"/>
        </w:rPr>
        <w:t>iekšlietu</w:t>
      </w:r>
      <w:proofErr w:type="spellEnd"/>
      <w:r w:rsidRPr="009C7307">
        <w:rPr>
          <w:rFonts w:ascii="Times New Roman" w:eastAsia="Times New Roman" w:hAnsi="Times New Roman" w:cs="Times New Roman"/>
          <w:color w:val="000000"/>
          <w:sz w:val="28"/>
          <w:szCs w:val="28"/>
          <w:lang w:eastAsia="lv-LV"/>
        </w:rPr>
        <w:t xml:space="preserve"> informācijas sistēma” apakšsistēmā „Noziedzīgo nodarījumu reģistrs” (turpmāk – Noziedzīgo nodarījumu reģistrs) reģistrēts/ievadīts noziedzīgs nodarījums, kas kvalificēts pēc Krimināllikuma panta, </w:t>
      </w:r>
      <w:proofErr w:type="spellStart"/>
      <w:r w:rsidRPr="009C7307">
        <w:rPr>
          <w:rFonts w:ascii="Times New Roman" w:eastAsia="Times New Roman" w:hAnsi="Times New Roman" w:cs="Times New Roman"/>
          <w:color w:val="000000"/>
          <w:sz w:val="28"/>
          <w:szCs w:val="28"/>
          <w:lang w:eastAsia="lv-LV"/>
        </w:rPr>
        <w:t>prim</w:t>
      </w:r>
      <w:proofErr w:type="spellEnd"/>
      <w:r w:rsidRPr="009C7307">
        <w:rPr>
          <w:rFonts w:ascii="Times New Roman" w:eastAsia="Times New Roman" w:hAnsi="Times New Roman" w:cs="Times New Roman"/>
          <w:color w:val="000000"/>
          <w:sz w:val="28"/>
          <w:szCs w:val="28"/>
          <w:lang w:eastAsia="lv-LV"/>
        </w:rPr>
        <w:t xml:space="preserve"> panta, daļas, </w:t>
      </w:r>
      <w:proofErr w:type="spellStart"/>
      <w:r w:rsidRPr="009C7307">
        <w:rPr>
          <w:rFonts w:ascii="Times New Roman" w:eastAsia="Times New Roman" w:hAnsi="Times New Roman" w:cs="Times New Roman"/>
          <w:color w:val="000000"/>
          <w:sz w:val="28"/>
          <w:szCs w:val="28"/>
          <w:lang w:eastAsia="lv-LV"/>
        </w:rPr>
        <w:t>prim</w:t>
      </w:r>
      <w:proofErr w:type="spellEnd"/>
      <w:r w:rsidRPr="009C7307">
        <w:rPr>
          <w:rFonts w:ascii="Times New Roman" w:eastAsia="Times New Roman" w:hAnsi="Times New Roman" w:cs="Times New Roman"/>
          <w:color w:val="000000"/>
          <w:sz w:val="28"/>
          <w:szCs w:val="28"/>
          <w:lang w:eastAsia="lv-LV"/>
        </w:rPr>
        <w:t xml:space="preserve"> daļas un punkta;</w:t>
      </w:r>
    </w:p>
    <w:p w:rsidR="009C7307" w:rsidRDefault="009C7307" w:rsidP="009C7307">
      <w:pPr>
        <w:pStyle w:val="ListParagraph"/>
        <w:numPr>
          <w:ilvl w:val="0"/>
          <w:numId w:val="1"/>
        </w:numPr>
        <w:spacing w:after="0" w:line="240" w:lineRule="auto"/>
        <w:rPr>
          <w:rFonts w:ascii="Times New Roman" w:eastAsia="Times New Roman" w:hAnsi="Times New Roman" w:cs="Times New Roman"/>
          <w:color w:val="000000"/>
          <w:sz w:val="28"/>
          <w:szCs w:val="28"/>
          <w:lang w:eastAsia="lv-LV"/>
        </w:rPr>
      </w:pPr>
      <w:r w:rsidRPr="009C7307">
        <w:rPr>
          <w:rFonts w:ascii="Times New Roman" w:eastAsia="Times New Roman" w:hAnsi="Times New Roman" w:cs="Times New Roman"/>
          <w:color w:val="000000"/>
          <w:sz w:val="28"/>
          <w:szCs w:val="28"/>
          <w:lang w:eastAsia="lv-LV"/>
        </w:rPr>
        <w:t>kvalificēts noziedzīgs nodarījums pēc piederības pie grupas objekta – Kriminālprocesa informācijas sistēmā un Noziedzīgo nodarījumu reģistrā reģistrēts/ievadīts noziedzīgs nodarījums, kas kvalificēts tikai pēc Krimināllikuma nodaļas</w:t>
      </w:r>
      <w:r>
        <w:rPr>
          <w:rFonts w:ascii="Times New Roman" w:eastAsia="Times New Roman" w:hAnsi="Times New Roman" w:cs="Times New Roman"/>
          <w:color w:val="000000"/>
          <w:sz w:val="28"/>
          <w:szCs w:val="28"/>
          <w:lang w:eastAsia="lv-LV"/>
        </w:rPr>
        <w:t>;</w:t>
      </w:r>
    </w:p>
    <w:p w:rsidR="009C7307" w:rsidRPr="009C7307" w:rsidRDefault="009C7307" w:rsidP="009C7307">
      <w:pPr>
        <w:pStyle w:val="ListParagraph"/>
        <w:numPr>
          <w:ilvl w:val="0"/>
          <w:numId w:val="1"/>
        </w:numPr>
        <w:spacing w:after="0" w:line="240" w:lineRule="auto"/>
        <w:rPr>
          <w:rFonts w:ascii="Times New Roman" w:eastAsia="Times New Roman" w:hAnsi="Times New Roman" w:cs="Times New Roman"/>
          <w:color w:val="000000"/>
          <w:sz w:val="28"/>
          <w:szCs w:val="28"/>
          <w:lang w:eastAsia="lv-LV"/>
        </w:rPr>
      </w:pPr>
      <w:r w:rsidRPr="009C7307">
        <w:rPr>
          <w:rFonts w:ascii="Times New Roman" w:eastAsia="Times New Roman" w:hAnsi="Times New Roman" w:cs="Times New Roman"/>
          <w:color w:val="000000"/>
          <w:sz w:val="28"/>
          <w:szCs w:val="28"/>
          <w:lang w:eastAsia="lv-LV"/>
        </w:rPr>
        <w:t>Datu noliktavas risinājums – Informācijas centra uzturētais analītiskais rīks</w:t>
      </w:r>
      <w:r w:rsidR="00EE5CA9">
        <w:rPr>
          <w:rFonts w:ascii="Times New Roman" w:eastAsia="Times New Roman" w:hAnsi="Times New Roman" w:cs="Times New Roman"/>
          <w:color w:val="000000"/>
          <w:sz w:val="28"/>
          <w:szCs w:val="28"/>
          <w:lang w:eastAsia="lv-LV"/>
        </w:rPr>
        <w:t>.</w:t>
      </w:r>
    </w:p>
    <w:p w:rsidR="009C7307" w:rsidRPr="009C7307" w:rsidRDefault="009C7307">
      <w:pPr>
        <w:rPr>
          <w:rFonts w:ascii="Times New Roman" w:hAnsi="Times New Roman" w:cs="Times New Roman"/>
          <w:sz w:val="28"/>
          <w:szCs w:val="28"/>
        </w:rPr>
      </w:pPr>
    </w:p>
    <w:p w:rsidR="009C7307" w:rsidRDefault="009C7307" w:rsidP="009C7307">
      <w:pPr>
        <w:pStyle w:val="ListParagraph"/>
        <w:spacing w:after="200" w:line="240" w:lineRule="auto"/>
        <w:ind w:left="0"/>
        <w:jc w:val="both"/>
        <w:rPr>
          <w:rFonts w:ascii="Times New Roman" w:hAnsi="Times New Roman"/>
          <w:sz w:val="28"/>
          <w:szCs w:val="28"/>
        </w:rPr>
      </w:pPr>
      <w:r w:rsidRPr="008461AA">
        <w:rPr>
          <w:rFonts w:ascii="Times New Roman" w:hAnsi="Times New Roman"/>
          <w:sz w:val="28"/>
          <w:szCs w:val="28"/>
        </w:rPr>
        <w:t>Statistiskos pārskatus gat</w:t>
      </w:r>
      <w:r>
        <w:rPr>
          <w:rFonts w:ascii="Times New Roman" w:hAnsi="Times New Roman"/>
          <w:sz w:val="28"/>
          <w:szCs w:val="28"/>
        </w:rPr>
        <w:t xml:space="preserve">avo, izmantojot Datu noliktavas </w:t>
      </w:r>
      <w:r w:rsidRPr="008461AA">
        <w:rPr>
          <w:rFonts w:ascii="Times New Roman" w:hAnsi="Times New Roman"/>
          <w:sz w:val="28"/>
          <w:szCs w:val="28"/>
        </w:rPr>
        <w:t>risinājumu.</w:t>
      </w:r>
      <w:r>
        <w:rPr>
          <w:rFonts w:ascii="Times New Roman" w:hAnsi="Times New Roman"/>
          <w:sz w:val="28"/>
          <w:szCs w:val="28"/>
        </w:rPr>
        <w:t xml:space="preserve"> </w:t>
      </w:r>
    </w:p>
    <w:p w:rsidR="009C7307" w:rsidRDefault="009C7307" w:rsidP="009C7307">
      <w:pPr>
        <w:pStyle w:val="ListParagraph"/>
        <w:spacing w:after="200" w:line="240" w:lineRule="auto"/>
        <w:ind w:left="0"/>
        <w:jc w:val="both"/>
        <w:rPr>
          <w:rFonts w:ascii="Times New Roman" w:hAnsi="Times New Roman"/>
          <w:sz w:val="28"/>
          <w:szCs w:val="28"/>
        </w:rPr>
      </w:pPr>
    </w:p>
    <w:p w:rsidR="009C7307" w:rsidRPr="008461AA" w:rsidRDefault="009C7307" w:rsidP="009C7307">
      <w:pPr>
        <w:pStyle w:val="ListParagraph"/>
        <w:spacing w:after="200" w:line="240" w:lineRule="auto"/>
        <w:ind w:left="709"/>
        <w:jc w:val="both"/>
        <w:rPr>
          <w:rFonts w:ascii="Times New Roman" w:hAnsi="Times New Roman"/>
          <w:sz w:val="28"/>
          <w:szCs w:val="28"/>
        </w:rPr>
      </w:pPr>
      <w:r w:rsidRPr="008461AA">
        <w:rPr>
          <w:rFonts w:ascii="Times New Roman" w:hAnsi="Times New Roman"/>
          <w:sz w:val="28"/>
          <w:szCs w:val="28"/>
        </w:rPr>
        <w:t>Statistiskajos pārskatos iekļauj:</w:t>
      </w:r>
    </w:p>
    <w:p w:rsidR="009C7307" w:rsidRPr="008461AA" w:rsidRDefault="009C7307" w:rsidP="009C7307">
      <w:pPr>
        <w:pStyle w:val="ListParagraph"/>
        <w:numPr>
          <w:ilvl w:val="1"/>
          <w:numId w:val="2"/>
        </w:numPr>
        <w:spacing w:after="200" w:line="240" w:lineRule="auto"/>
        <w:ind w:left="0" w:firstLine="709"/>
        <w:jc w:val="both"/>
        <w:rPr>
          <w:rFonts w:ascii="Times New Roman" w:hAnsi="Times New Roman"/>
          <w:sz w:val="28"/>
          <w:szCs w:val="28"/>
        </w:rPr>
      </w:pPr>
      <w:r w:rsidRPr="008461AA">
        <w:rPr>
          <w:rFonts w:ascii="Times New Roman" w:hAnsi="Times New Roman"/>
          <w:sz w:val="28"/>
          <w:szCs w:val="28"/>
        </w:rPr>
        <w:t>datus no Noziedzīgo nodarījumu reģistra par kriminālprocesiem,  kas uzsākti no 2005.gada 1.oktobra līdz 2010.gada 31.decembrim, un tajos reģistrētiem noziedzīgiem nodarījumiem;</w:t>
      </w:r>
    </w:p>
    <w:p w:rsidR="009C7307" w:rsidRDefault="009C7307" w:rsidP="009C7307">
      <w:pPr>
        <w:pStyle w:val="ListParagraph"/>
        <w:numPr>
          <w:ilvl w:val="1"/>
          <w:numId w:val="2"/>
        </w:numPr>
        <w:tabs>
          <w:tab w:val="left" w:pos="284"/>
        </w:tabs>
        <w:spacing w:after="200" w:line="240" w:lineRule="auto"/>
        <w:ind w:left="0" w:firstLine="709"/>
        <w:jc w:val="both"/>
        <w:rPr>
          <w:rFonts w:ascii="Times New Roman" w:hAnsi="Times New Roman"/>
          <w:sz w:val="28"/>
          <w:szCs w:val="28"/>
        </w:rPr>
      </w:pPr>
      <w:r w:rsidRPr="008461AA">
        <w:rPr>
          <w:rFonts w:ascii="Times New Roman" w:hAnsi="Times New Roman"/>
          <w:sz w:val="28"/>
          <w:szCs w:val="28"/>
        </w:rPr>
        <w:t>datus no Kriminālprocesa informācijas sistēmas par kriminālprocesiem, kas uzsākti no 2011.gada 1.janvāra, un tajos reģistrētiem noziedzīgiem nodarījumiem.</w:t>
      </w:r>
    </w:p>
    <w:p w:rsidR="009C7307" w:rsidRDefault="009C7307" w:rsidP="009C7307">
      <w:pPr>
        <w:pStyle w:val="ListParagraph"/>
        <w:tabs>
          <w:tab w:val="left" w:pos="284"/>
        </w:tabs>
        <w:spacing w:after="200" w:line="240" w:lineRule="auto"/>
        <w:ind w:left="709"/>
        <w:jc w:val="both"/>
        <w:rPr>
          <w:rFonts w:ascii="Times New Roman" w:hAnsi="Times New Roman"/>
          <w:sz w:val="28"/>
          <w:szCs w:val="28"/>
        </w:rPr>
      </w:pPr>
    </w:p>
    <w:p w:rsidR="009C7307" w:rsidRDefault="009C7307" w:rsidP="00EE5CA9">
      <w:pPr>
        <w:pStyle w:val="ListParagraph"/>
        <w:numPr>
          <w:ilvl w:val="0"/>
          <w:numId w:val="4"/>
        </w:numPr>
        <w:tabs>
          <w:tab w:val="left" w:pos="0"/>
        </w:tabs>
        <w:spacing w:after="200" w:line="240" w:lineRule="auto"/>
        <w:ind w:left="53" w:firstLine="89"/>
        <w:jc w:val="both"/>
        <w:rPr>
          <w:rFonts w:ascii="Times New Roman" w:hAnsi="Times New Roman"/>
          <w:sz w:val="28"/>
          <w:szCs w:val="28"/>
        </w:rPr>
      </w:pPr>
      <w:r w:rsidRPr="008461AA">
        <w:rPr>
          <w:rFonts w:ascii="Times New Roman" w:hAnsi="Times New Roman"/>
          <w:sz w:val="28"/>
          <w:szCs w:val="28"/>
        </w:rPr>
        <w:t>Ja kriminālprocesā reģistrētie noziedzīgi nodarījumi kvalificēti pēc viena Krimināllikuma panta dažādām daļām, statistiskajos pārskatos tos uzskaita vienu reizi.</w:t>
      </w:r>
    </w:p>
    <w:p w:rsidR="00EE5CA9" w:rsidRDefault="00EE5CA9" w:rsidP="00EE5CA9">
      <w:pPr>
        <w:pStyle w:val="ListParagraph"/>
        <w:numPr>
          <w:ilvl w:val="0"/>
          <w:numId w:val="4"/>
        </w:numPr>
        <w:tabs>
          <w:tab w:val="left" w:pos="0"/>
        </w:tabs>
        <w:spacing w:after="200" w:line="240" w:lineRule="auto"/>
        <w:ind w:left="53" w:firstLine="89"/>
        <w:jc w:val="both"/>
        <w:rPr>
          <w:rFonts w:ascii="Times New Roman" w:hAnsi="Times New Roman"/>
          <w:sz w:val="28"/>
          <w:szCs w:val="28"/>
        </w:rPr>
      </w:pPr>
      <w:r w:rsidRPr="008461AA">
        <w:rPr>
          <w:rFonts w:ascii="Times New Roman" w:hAnsi="Times New Roman"/>
          <w:sz w:val="28"/>
          <w:szCs w:val="28"/>
        </w:rPr>
        <w:t>Kvalificētos noziedzīgos nodarījumus pēc Krimināllikuma panta, kuriem kriminālprocesā pēc Krimināllikuma pantu kvalifikācijas ir dažādas smaguma pakāpes, statistiskajos pārskatos uzskaita pēc smagākā kvalificētā noziedzīgā nodarījuma</w:t>
      </w:r>
      <w:r>
        <w:rPr>
          <w:rFonts w:ascii="Times New Roman" w:hAnsi="Times New Roman"/>
          <w:sz w:val="28"/>
          <w:szCs w:val="28"/>
        </w:rPr>
        <w:t>.</w:t>
      </w:r>
    </w:p>
    <w:p w:rsidR="007A0F32" w:rsidRDefault="007A0F32" w:rsidP="007A0F32">
      <w:pPr>
        <w:tabs>
          <w:tab w:val="left" w:pos="0"/>
        </w:tabs>
        <w:spacing w:after="200" w:line="240" w:lineRule="auto"/>
        <w:jc w:val="both"/>
        <w:rPr>
          <w:rFonts w:ascii="Times New Roman" w:hAnsi="Times New Roman"/>
          <w:sz w:val="28"/>
          <w:szCs w:val="28"/>
        </w:rPr>
      </w:pPr>
    </w:p>
    <w:p w:rsidR="007A0F32" w:rsidRPr="007A0F32" w:rsidRDefault="007A0F32" w:rsidP="007A0F32">
      <w:pPr>
        <w:tabs>
          <w:tab w:val="left" w:pos="0"/>
        </w:tabs>
        <w:spacing w:after="200" w:line="240" w:lineRule="auto"/>
        <w:jc w:val="both"/>
        <w:rPr>
          <w:rFonts w:ascii="Times New Roman" w:hAnsi="Times New Roman"/>
          <w:sz w:val="28"/>
          <w:szCs w:val="28"/>
        </w:rPr>
      </w:pPr>
      <w:r w:rsidRPr="008461AA">
        <w:rPr>
          <w:rFonts w:ascii="Times New Roman" w:hAnsi="Times New Roman"/>
          <w:sz w:val="28"/>
          <w:szCs w:val="28"/>
        </w:rPr>
        <w:t xml:space="preserve">Statistiskais pārskats par valstī reģistrētajiem </w:t>
      </w:r>
      <w:r w:rsidRPr="008461AA">
        <w:rPr>
          <w:rStyle w:val="textitem"/>
          <w:rFonts w:ascii="Times New Roman" w:hAnsi="Times New Roman"/>
          <w:sz w:val="28"/>
          <w:szCs w:val="28"/>
        </w:rPr>
        <w:t>noziedzīgajiem</w:t>
      </w:r>
      <w:r w:rsidRPr="008461AA">
        <w:rPr>
          <w:rFonts w:ascii="Times New Roman" w:hAnsi="Times New Roman"/>
          <w:sz w:val="28"/>
          <w:szCs w:val="28"/>
        </w:rPr>
        <w:t xml:space="preserve"> nodarījumiem, kas kvalificēti pēc Krimināllikuma panta un pēc piederības pie grupas objekta, iedalījumā pēc administratīvās teritorijas</w:t>
      </w:r>
      <w:r>
        <w:rPr>
          <w:rFonts w:ascii="Times New Roman" w:hAnsi="Times New Roman"/>
          <w:sz w:val="28"/>
          <w:szCs w:val="28"/>
        </w:rPr>
        <w:t>:</w:t>
      </w:r>
    </w:p>
    <w:p w:rsidR="00BD3309" w:rsidRDefault="00BD3309" w:rsidP="00EE5CA9">
      <w:pPr>
        <w:pStyle w:val="ListParagraph"/>
        <w:numPr>
          <w:ilvl w:val="0"/>
          <w:numId w:val="4"/>
        </w:numPr>
        <w:tabs>
          <w:tab w:val="left" w:pos="0"/>
        </w:tabs>
        <w:spacing w:after="200" w:line="240" w:lineRule="auto"/>
        <w:ind w:left="53" w:firstLine="89"/>
        <w:jc w:val="both"/>
        <w:rPr>
          <w:rFonts w:ascii="Times New Roman" w:hAnsi="Times New Roman"/>
          <w:sz w:val="28"/>
          <w:szCs w:val="28"/>
        </w:rPr>
      </w:pPr>
      <w:r w:rsidRPr="008461AA">
        <w:rPr>
          <w:rFonts w:ascii="Times New Roman" w:hAnsi="Times New Roman"/>
          <w:sz w:val="28"/>
          <w:szCs w:val="28"/>
        </w:rPr>
        <w:t>noziedzīgo nodarījumu uzskaita pēc noziedzīga nodarījuma izdarīšanas adreses un atspoguļo pie attiecīgās administratīvās teritorijas</w:t>
      </w:r>
      <w:r>
        <w:rPr>
          <w:rFonts w:ascii="Times New Roman" w:hAnsi="Times New Roman"/>
          <w:sz w:val="28"/>
          <w:szCs w:val="28"/>
        </w:rPr>
        <w:t>;</w:t>
      </w:r>
    </w:p>
    <w:p w:rsidR="00BD3309" w:rsidRDefault="00BD3309" w:rsidP="00EE5CA9">
      <w:pPr>
        <w:pStyle w:val="ListParagraph"/>
        <w:numPr>
          <w:ilvl w:val="0"/>
          <w:numId w:val="4"/>
        </w:numPr>
        <w:tabs>
          <w:tab w:val="left" w:pos="0"/>
        </w:tabs>
        <w:spacing w:after="200" w:line="240" w:lineRule="auto"/>
        <w:ind w:left="53" w:firstLine="89"/>
        <w:jc w:val="both"/>
        <w:rPr>
          <w:rFonts w:ascii="Times New Roman" w:hAnsi="Times New Roman"/>
          <w:sz w:val="28"/>
          <w:szCs w:val="28"/>
        </w:rPr>
      </w:pPr>
      <w:r w:rsidRPr="008461AA">
        <w:rPr>
          <w:rFonts w:ascii="Times New Roman" w:hAnsi="Times New Roman"/>
          <w:sz w:val="28"/>
          <w:szCs w:val="28"/>
        </w:rPr>
        <w:lastRenderedPageBreak/>
        <w:t>statistiskajā pārskatā par gada laikā valstī reģistrētajiem noziedzīgajiem nodarījumiem ietver noziedzīgus nodarījumus, kas kvalificēti pēc Krimināllikuma panta, un noziedzīgus nodarījumus, kas kvalificēti pēc piederības pie grupas objekta, par kuriem ziņas ievadītas Kriminālprocesa informācijas sistēmā un Noziedzīgo nodarījumu reģistrā no kārtējā gada 1.janvāra līdz 31.decembrim. Statistiskajā pārskatā netiek iekļauti noziedzīgi nodarījumi, par kuriem izmeklēšanu izbeidz, pamatojoties uz Kriminālprocesa likuma 377.panta 1. vai 2.punktu</w:t>
      </w:r>
      <w:r>
        <w:rPr>
          <w:rFonts w:ascii="Times New Roman" w:hAnsi="Times New Roman"/>
          <w:sz w:val="28"/>
          <w:szCs w:val="28"/>
        </w:rPr>
        <w:t>.</w:t>
      </w:r>
    </w:p>
    <w:p w:rsidR="009C7307" w:rsidRDefault="009C7307" w:rsidP="009C7307">
      <w:pPr>
        <w:pStyle w:val="ListParagraph"/>
        <w:tabs>
          <w:tab w:val="left" w:pos="0"/>
        </w:tabs>
        <w:spacing w:after="200" w:line="240" w:lineRule="auto"/>
        <w:ind w:left="709"/>
        <w:jc w:val="both"/>
        <w:rPr>
          <w:rFonts w:ascii="Times New Roman" w:hAnsi="Times New Roman"/>
          <w:sz w:val="28"/>
          <w:szCs w:val="28"/>
        </w:rPr>
      </w:pPr>
    </w:p>
    <w:p w:rsidR="009C7307" w:rsidRPr="003E1C7B" w:rsidRDefault="00993980" w:rsidP="009C7307">
      <w:pPr>
        <w:tabs>
          <w:tab w:val="left" w:pos="284"/>
        </w:tabs>
        <w:spacing w:after="200" w:line="240" w:lineRule="auto"/>
        <w:jc w:val="both"/>
        <w:rPr>
          <w:rStyle w:val="Hyperlink"/>
          <w:rFonts w:ascii="Times New Roman" w:hAnsi="Times New Roman"/>
          <w:color w:val="auto"/>
          <w:sz w:val="28"/>
          <w:szCs w:val="28"/>
        </w:rPr>
      </w:pPr>
      <w:r w:rsidRPr="00993980">
        <w:rPr>
          <w:rFonts w:ascii="Times New Roman" w:hAnsi="Times New Roman" w:cs="Times New Roman"/>
          <w:sz w:val="28"/>
          <w:szCs w:val="28"/>
        </w:rPr>
        <w:t>Statistiskais p</w:t>
      </w:r>
      <w:r w:rsidRPr="00993980">
        <w:rPr>
          <w:rStyle w:val="Hyperlink"/>
          <w:rFonts w:ascii="Times New Roman" w:hAnsi="Times New Roman"/>
          <w:color w:val="auto"/>
          <w:sz w:val="28"/>
          <w:szCs w:val="28"/>
          <w:u w:val="none"/>
        </w:rPr>
        <w:t>ārskats par personām, kurām ir tiesības uz ai</w:t>
      </w:r>
      <w:r w:rsidR="00BD3309">
        <w:rPr>
          <w:rStyle w:val="Hyperlink"/>
          <w:rFonts w:ascii="Times New Roman" w:hAnsi="Times New Roman"/>
          <w:color w:val="auto"/>
          <w:sz w:val="28"/>
          <w:szCs w:val="28"/>
          <w:u w:val="none"/>
        </w:rPr>
        <w:t>zstāvību</w:t>
      </w:r>
      <w:r w:rsidRPr="003E1C7B">
        <w:rPr>
          <w:rStyle w:val="Hyperlink"/>
          <w:rFonts w:ascii="Times New Roman" w:hAnsi="Times New Roman"/>
          <w:color w:val="auto"/>
          <w:sz w:val="28"/>
          <w:szCs w:val="28"/>
          <w:u w:val="none"/>
        </w:rPr>
        <w:t>:</w:t>
      </w:r>
    </w:p>
    <w:p w:rsidR="00993980" w:rsidRPr="00DA031F" w:rsidRDefault="00DA031F" w:rsidP="003E1C7B">
      <w:pPr>
        <w:pStyle w:val="ListParagraph"/>
        <w:numPr>
          <w:ilvl w:val="0"/>
          <w:numId w:val="3"/>
        </w:numPr>
        <w:tabs>
          <w:tab w:val="left" w:pos="0"/>
        </w:tabs>
        <w:spacing w:after="200" w:line="240" w:lineRule="auto"/>
        <w:ind w:left="0" w:firstLine="142"/>
        <w:jc w:val="both"/>
        <w:rPr>
          <w:rFonts w:ascii="Times New Roman" w:hAnsi="Times New Roman"/>
          <w:sz w:val="28"/>
          <w:szCs w:val="28"/>
        </w:rPr>
      </w:pPr>
      <w:r w:rsidRPr="00DA031F">
        <w:rPr>
          <w:rStyle w:val="Hyperlink"/>
          <w:rFonts w:ascii="Times New Roman" w:hAnsi="Times New Roman"/>
          <w:color w:val="auto"/>
          <w:sz w:val="28"/>
          <w:szCs w:val="28"/>
          <w:u w:val="none"/>
        </w:rPr>
        <w:t xml:space="preserve">statistiskajā pārskatā atspoguļo fiziskas un juridiskas personas, attiecībā uz kurām Kriminālprocesa informācijas sistēmā ir ievadīts lēmums par kriminālprocesa uzsākšanu (ja kriminālprocesā figurē persona pret kuru uzsākts kriminālprocess, </w:t>
      </w:r>
      <w:r w:rsidRPr="00DA031F">
        <w:rPr>
          <w:rFonts w:ascii="Times New Roman" w:hAnsi="Times New Roman"/>
          <w:sz w:val="28"/>
          <w:szCs w:val="28"/>
          <w:lang w:eastAsia="lv-LV"/>
        </w:rPr>
        <w:t>aizturēšanas protokols, lēmums par personas atzīšanu par aizdomās turēto, saukšanu pie kriminālatbildības, kriminālprocesa nosūtīšanu tiesai, procesa turpināšanu medicīniska/audzinoša rakstura piespiedu līdzekļu piemērošanai, kā arī prokurora priekšraksts par sodu un notiesājošs tiesas nolēmums;</w:t>
      </w:r>
    </w:p>
    <w:p w:rsidR="00DA031F" w:rsidRPr="00DA031F" w:rsidRDefault="00DA031F" w:rsidP="003E1C7B">
      <w:pPr>
        <w:pStyle w:val="ListParagraph"/>
        <w:numPr>
          <w:ilvl w:val="0"/>
          <w:numId w:val="3"/>
        </w:numPr>
        <w:ind w:left="0" w:firstLine="142"/>
        <w:jc w:val="both"/>
        <w:rPr>
          <w:rFonts w:ascii="Times New Roman" w:hAnsi="Times New Roman"/>
          <w:sz w:val="28"/>
          <w:szCs w:val="28"/>
          <w:lang w:eastAsia="lv-LV"/>
        </w:rPr>
      </w:pPr>
      <w:r w:rsidRPr="00DA031F">
        <w:rPr>
          <w:rFonts w:ascii="Times New Roman" w:hAnsi="Times New Roman"/>
          <w:sz w:val="28"/>
          <w:szCs w:val="28"/>
          <w:lang w:eastAsia="lv-LV"/>
        </w:rPr>
        <w:t>statistiskajā pārskatā neatspoguļo informāciju par personām, pret kurām kriminālprocess kopumā vai attiecīgais noziedzīgais nodarījums, kurā figurē persona, tika izbeigts pēc Kriminālprocesa likuma 377.panta 1.punkta un 2.punkta;</w:t>
      </w:r>
    </w:p>
    <w:p w:rsidR="00DA031F" w:rsidRPr="008461AA" w:rsidRDefault="00DA031F" w:rsidP="003E1C7B">
      <w:pPr>
        <w:pStyle w:val="ListParagraph"/>
        <w:numPr>
          <w:ilvl w:val="0"/>
          <w:numId w:val="3"/>
        </w:numPr>
        <w:ind w:left="0" w:firstLine="142"/>
        <w:jc w:val="both"/>
        <w:rPr>
          <w:rFonts w:ascii="Times New Roman" w:hAnsi="Times New Roman"/>
          <w:sz w:val="28"/>
          <w:szCs w:val="28"/>
          <w:lang w:eastAsia="lv-LV"/>
        </w:rPr>
      </w:pPr>
      <w:r w:rsidRPr="00DA031F">
        <w:rPr>
          <w:rStyle w:val="Hyperlink"/>
          <w:rFonts w:ascii="Times New Roman" w:hAnsi="Times New Roman"/>
          <w:color w:val="auto"/>
          <w:sz w:val="28"/>
          <w:szCs w:val="28"/>
          <w:u w:val="none"/>
        </w:rPr>
        <w:t>personas, kurām ir tiesības uz aizstāvību</w:t>
      </w:r>
      <w:r w:rsidRPr="00DA031F">
        <w:rPr>
          <w:rFonts w:ascii="Times New Roman" w:hAnsi="Times New Roman"/>
          <w:sz w:val="28"/>
          <w:szCs w:val="28"/>
          <w:lang w:eastAsia="lv-LV"/>
        </w:rPr>
        <w:t xml:space="preserve"> vecums tiek skaitīts uz brīdi, kad tika izdarīts attiecīgais noziedzīgais nodarījums. Ja persona ir izdarījusi vairākus noziedzīgos nodarījumos, tad </w:t>
      </w:r>
      <w:r w:rsidRPr="008461AA">
        <w:rPr>
          <w:rFonts w:ascii="Times New Roman" w:hAnsi="Times New Roman"/>
          <w:sz w:val="28"/>
          <w:szCs w:val="28"/>
          <w:lang w:eastAsia="lv-LV"/>
        </w:rPr>
        <w:t>statistiskajā pārskatā tiek norādīts vecums, kādā persona izdarījusi pirmo noziedzīgo nodarījumu;</w:t>
      </w:r>
    </w:p>
    <w:p w:rsidR="00DA031F" w:rsidRPr="008461AA" w:rsidRDefault="00DA031F" w:rsidP="003E1C7B">
      <w:pPr>
        <w:pStyle w:val="ListParagraph"/>
        <w:numPr>
          <w:ilvl w:val="0"/>
          <w:numId w:val="3"/>
        </w:numPr>
        <w:ind w:left="0" w:firstLine="142"/>
        <w:jc w:val="both"/>
        <w:rPr>
          <w:rFonts w:ascii="Times New Roman" w:hAnsi="Times New Roman"/>
          <w:sz w:val="28"/>
          <w:szCs w:val="28"/>
          <w:lang w:eastAsia="lv-LV"/>
        </w:rPr>
      </w:pPr>
      <w:r w:rsidRPr="008461AA">
        <w:rPr>
          <w:rFonts w:ascii="Times New Roman" w:hAnsi="Times New Roman"/>
          <w:sz w:val="28"/>
          <w:szCs w:val="28"/>
          <w:lang w:eastAsia="lv-LV"/>
        </w:rPr>
        <w:t>gadījumos, kad persona ir izdarījusi vairākus noziedzīgos nodarījumus, kuros kvalifikācija atšķiras, statistiskā pārskata kopskaitā persona tiek norādīta vienu reizi. Statistiskajā pārskatā pēc Krimināllikuma pantiem, informācija par personu tiek atspoguļota pie katra Krimināllikuma panta. Mainoties kvalifikācijai, statistiskajā pārskatā tiek norādīta pēdējā, aktuālā kvalifikācija;</w:t>
      </w:r>
    </w:p>
    <w:p w:rsidR="00DA031F" w:rsidRPr="008461AA" w:rsidRDefault="00DA031F" w:rsidP="003E1C7B">
      <w:pPr>
        <w:pStyle w:val="ListParagraph"/>
        <w:numPr>
          <w:ilvl w:val="0"/>
          <w:numId w:val="3"/>
        </w:numPr>
        <w:ind w:left="0" w:firstLine="142"/>
        <w:jc w:val="both"/>
        <w:rPr>
          <w:rFonts w:ascii="Times New Roman" w:hAnsi="Times New Roman"/>
          <w:sz w:val="28"/>
          <w:szCs w:val="28"/>
          <w:lang w:eastAsia="lv-LV"/>
        </w:rPr>
      </w:pPr>
      <w:r w:rsidRPr="00DA031F">
        <w:rPr>
          <w:rFonts w:ascii="Times New Roman" w:hAnsi="Times New Roman"/>
          <w:sz w:val="28"/>
          <w:szCs w:val="28"/>
          <w:lang w:eastAsia="lv-LV"/>
        </w:rPr>
        <w:t xml:space="preserve">statistiskā pārskata rezultātos tiek atspoguļoti dati par personām, </w:t>
      </w:r>
      <w:r w:rsidRPr="00DA031F">
        <w:rPr>
          <w:rStyle w:val="Hyperlink"/>
          <w:rFonts w:ascii="Times New Roman" w:hAnsi="Times New Roman"/>
          <w:color w:val="auto"/>
          <w:sz w:val="28"/>
          <w:szCs w:val="28"/>
          <w:u w:val="none"/>
        </w:rPr>
        <w:t xml:space="preserve">kurām ir tiesības uz aizstāvību </w:t>
      </w:r>
      <w:r w:rsidRPr="00DA031F">
        <w:rPr>
          <w:rFonts w:ascii="Times New Roman" w:hAnsi="Times New Roman"/>
          <w:sz w:val="28"/>
          <w:szCs w:val="28"/>
          <w:lang w:eastAsia="lv-LV"/>
        </w:rPr>
        <w:t xml:space="preserve">kopskaits, kā arī iedalījumā pēc šo personu veida (juridiska/fiziska), dzimuma (sieviete/vīrietis/dzimums nav noteikts) </w:t>
      </w:r>
      <w:r w:rsidRPr="008461AA">
        <w:rPr>
          <w:rFonts w:ascii="Times New Roman" w:hAnsi="Times New Roman"/>
          <w:sz w:val="28"/>
          <w:szCs w:val="28"/>
          <w:lang w:eastAsia="lv-LV"/>
        </w:rPr>
        <w:t>un vecuma grupas (nepilngadīga, pieaugušais).</w:t>
      </w:r>
    </w:p>
    <w:sectPr w:rsidR="00DA031F" w:rsidRPr="008461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40627"/>
    <w:multiLevelType w:val="hybridMultilevel"/>
    <w:tmpl w:val="CE94B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4D3616"/>
    <w:multiLevelType w:val="hybridMultilevel"/>
    <w:tmpl w:val="5FFE1188"/>
    <w:lvl w:ilvl="0" w:tplc="352EB07A">
      <w:start w:val="1"/>
      <w:numFmt w:val="bullet"/>
      <w:lvlText w:val="-"/>
      <w:lvlJc w:val="left"/>
      <w:pPr>
        <w:ind w:left="1853"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3E9A542B"/>
    <w:multiLevelType w:val="hybridMultilevel"/>
    <w:tmpl w:val="D5C6B078"/>
    <w:lvl w:ilvl="0" w:tplc="352EB07A">
      <w:start w:val="1"/>
      <w:numFmt w:val="bullet"/>
      <w:lvlText w:val="-"/>
      <w:lvlJc w:val="left"/>
      <w:pPr>
        <w:ind w:left="1144" w:hanging="360"/>
      </w:pPr>
      <w:rPr>
        <w:rFonts w:ascii="Times New Roman" w:eastAsiaTheme="minorHAnsi" w:hAnsi="Times New Roman" w:cs="Times New Roman"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3" w15:restartNumberingAfterBreak="0">
    <w:nsid w:val="69594BA8"/>
    <w:multiLevelType w:val="multilevel"/>
    <w:tmpl w:val="4BBE475A"/>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07"/>
    <w:rsid w:val="001F680F"/>
    <w:rsid w:val="003E1C7B"/>
    <w:rsid w:val="004D60D4"/>
    <w:rsid w:val="007A0F32"/>
    <w:rsid w:val="007F254C"/>
    <w:rsid w:val="00993980"/>
    <w:rsid w:val="009C7307"/>
    <w:rsid w:val="00A87846"/>
    <w:rsid w:val="00BD3309"/>
    <w:rsid w:val="00DA031F"/>
    <w:rsid w:val="00EE5C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D14B9-481B-44B5-BF57-6C8EB210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07"/>
    <w:pPr>
      <w:ind w:left="720"/>
      <w:contextualSpacing/>
    </w:pPr>
  </w:style>
  <w:style w:type="character" w:customStyle="1" w:styleId="textitem">
    <w:name w:val="textitem"/>
    <w:rsid w:val="004D60D4"/>
  </w:style>
  <w:style w:type="character" w:styleId="Hyperlink">
    <w:name w:val="Hyperlink"/>
    <w:basedOn w:val="DefaultParagraphFont"/>
    <w:uiPriority w:val="99"/>
    <w:rsid w:val="004D60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8911">
      <w:bodyDiv w:val="1"/>
      <w:marLeft w:val="0"/>
      <w:marRight w:val="0"/>
      <w:marTop w:val="0"/>
      <w:marBottom w:val="0"/>
      <w:divBdr>
        <w:top w:val="none" w:sz="0" w:space="0" w:color="auto"/>
        <w:left w:val="none" w:sz="0" w:space="0" w:color="auto"/>
        <w:bottom w:val="none" w:sz="0" w:space="0" w:color="auto"/>
        <w:right w:val="none" w:sz="0" w:space="0" w:color="auto"/>
      </w:divBdr>
    </w:div>
    <w:div w:id="1330330921">
      <w:bodyDiv w:val="1"/>
      <w:marLeft w:val="0"/>
      <w:marRight w:val="0"/>
      <w:marTop w:val="0"/>
      <w:marBottom w:val="0"/>
      <w:divBdr>
        <w:top w:val="none" w:sz="0" w:space="0" w:color="auto"/>
        <w:left w:val="none" w:sz="0" w:space="0" w:color="auto"/>
        <w:bottom w:val="none" w:sz="0" w:space="0" w:color="auto"/>
        <w:right w:val="none" w:sz="0" w:space="0" w:color="auto"/>
      </w:divBdr>
    </w:div>
    <w:div w:id="17829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2757</Words>
  <Characters>1573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Kiškurno</dc:creator>
  <cp:keywords/>
  <dc:description/>
  <cp:lastModifiedBy>Jūlija Mālere</cp:lastModifiedBy>
  <cp:revision>2</cp:revision>
  <dcterms:created xsi:type="dcterms:W3CDTF">2020-10-12T08:20:00Z</dcterms:created>
  <dcterms:modified xsi:type="dcterms:W3CDTF">2020-10-12T08:20:00Z</dcterms:modified>
</cp:coreProperties>
</file>